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1FFB595" w14:textId="544CC54F" w:rsidR="00B608CB" w:rsidRDefault="00B608CB">
      <w:pPr>
        <w:rPr>
          <w:b/>
          <w:bCs/>
        </w:rPr>
      </w:pPr>
      <w:bookmarkStart w:id="0" w:name="_GoBack"/>
      <w:bookmarkEnd w:id="0"/>
    </w:p>
    <w:p w14:paraId="203A54F2" w14:textId="05BB6B83" w:rsidR="000B6CF2" w:rsidRDefault="000B6CF2">
      <w:pPr>
        <w:rPr>
          <w:b/>
          <w:bCs/>
        </w:rPr>
      </w:pPr>
    </w:p>
    <w:p w14:paraId="021828FB" w14:textId="73E8D4FC" w:rsidR="000B6CF2" w:rsidRDefault="000B6CF2">
      <w:pPr>
        <w:rPr>
          <w:b/>
          <w:bCs/>
        </w:rPr>
      </w:pPr>
    </w:p>
    <w:p w14:paraId="463FC368" w14:textId="173840EE" w:rsidR="000B6CF2" w:rsidRDefault="000B6CF2" w:rsidP="000B6CF2">
      <w:pPr>
        <w:jc w:val="center"/>
        <w:rPr>
          <w:b/>
          <w:bCs/>
        </w:rPr>
      </w:pPr>
    </w:p>
    <w:p w14:paraId="641F9D43" w14:textId="53E0ADFB" w:rsidR="000B6CF2" w:rsidRDefault="00592D88" w:rsidP="000B6CF2">
      <w:pPr>
        <w:jc w:val="center"/>
      </w:pPr>
      <w:r>
        <w:t>Sexual Orientation and Gender Inequality</w:t>
      </w:r>
    </w:p>
    <w:p w14:paraId="6D7F4DEC" w14:textId="3A29C897" w:rsidR="000B6CF2" w:rsidRDefault="00592D88" w:rsidP="000B6CF2">
      <w:pPr>
        <w:jc w:val="center"/>
      </w:pPr>
      <w:r>
        <w:t>Name</w:t>
      </w:r>
    </w:p>
    <w:p w14:paraId="70011F65" w14:textId="67FEFD4A" w:rsidR="000B6CF2" w:rsidRDefault="00592D88" w:rsidP="000B6CF2">
      <w:pPr>
        <w:jc w:val="center"/>
      </w:pPr>
      <w:r>
        <w:t>Institution</w:t>
      </w:r>
    </w:p>
    <w:p w14:paraId="3C47DB98" w14:textId="4A0D03CF" w:rsidR="000B6CF2" w:rsidRDefault="00592D88" w:rsidP="000B6CF2">
      <w:pPr>
        <w:jc w:val="center"/>
      </w:pPr>
      <w:r>
        <w:t>Course</w:t>
      </w:r>
    </w:p>
    <w:p w14:paraId="7057FA88" w14:textId="5CA460A7" w:rsidR="000B6CF2" w:rsidRPr="000B6CF2" w:rsidRDefault="00592D88" w:rsidP="000B6CF2">
      <w:pPr>
        <w:jc w:val="center"/>
      </w:pPr>
      <w:r>
        <w:t>Date</w:t>
      </w:r>
    </w:p>
    <w:p w14:paraId="4F2805E8" w14:textId="4D7777D0" w:rsidR="000B6CF2" w:rsidRDefault="000B6CF2">
      <w:pPr>
        <w:rPr>
          <w:b/>
          <w:bCs/>
        </w:rPr>
      </w:pPr>
    </w:p>
    <w:p w14:paraId="7B3C3AEE" w14:textId="50ADAA88" w:rsidR="000B6CF2" w:rsidRDefault="000B6CF2">
      <w:pPr>
        <w:rPr>
          <w:b/>
          <w:bCs/>
        </w:rPr>
      </w:pPr>
    </w:p>
    <w:p w14:paraId="3173F6CD" w14:textId="48CFF6AE" w:rsidR="000B6CF2" w:rsidRDefault="000B6CF2">
      <w:pPr>
        <w:rPr>
          <w:b/>
          <w:bCs/>
        </w:rPr>
      </w:pPr>
    </w:p>
    <w:p w14:paraId="6D3753BD" w14:textId="7E947464" w:rsidR="000B6CF2" w:rsidRDefault="000B6CF2">
      <w:pPr>
        <w:rPr>
          <w:b/>
          <w:bCs/>
        </w:rPr>
      </w:pPr>
    </w:p>
    <w:p w14:paraId="20420E8D" w14:textId="2134F232" w:rsidR="000B6CF2" w:rsidRDefault="000B6CF2">
      <w:pPr>
        <w:rPr>
          <w:b/>
          <w:bCs/>
        </w:rPr>
      </w:pPr>
    </w:p>
    <w:p w14:paraId="073C19C5" w14:textId="27B5577C" w:rsidR="000B6CF2" w:rsidRDefault="000B6CF2">
      <w:pPr>
        <w:rPr>
          <w:b/>
          <w:bCs/>
        </w:rPr>
      </w:pPr>
    </w:p>
    <w:p w14:paraId="72E9FD5F" w14:textId="15AA10BD" w:rsidR="000B6CF2" w:rsidRDefault="000B6CF2">
      <w:pPr>
        <w:rPr>
          <w:b/>
          <w:bCs/>
        </w:rPr>
      </w:pPr>
    </w:p>
    <w:p w14:paraId="3850D370" w14:textId="0FCC530C" w:rsidR="000B6CF2" w:rsidRDefault="000B6CF2">
      <w:pPr>
        <w:rPr>
          <w:b/>
          <w:bCs/>
        </w:rPr>
      </w:pPr>
    </w:p>
    <w:p w14:paraId="6118D4F9" w14:textId="50EF376E" w:rsidR="00B608CB" w:rsidRDefault="00B608CB" w:rsidP="000B6CF2">
      <w:pPr>
        <w:tabs>
          <w:tab w:val="left" w:pos="4200"/>
        </w:tabs>
        <w:rPr>
          <w:b/>
          <w:bCs/>
        </w:rPr>
      </w:pPr>
    </w:p>
    <w:p w14:paraId="64BDD36D" w14:textId="63B215EB" w:rsidR="00381204" w:rsidRDefault="00592D88" w:rsidP="004F78BA">
      <w:pPr>
        <w:jc w:val="center"/>
        <w:rPr>
          <w:b/>
          <w:bCs/>
        </w:rPr>
      </w:pPr>
      <w:r>
        <w:rPr>
          <w:b/>
          <w:bCs/>
        </w:rPr>
        <w:lastRenderedPageBreak/>
        <w:t>Sexual Orientation and Gender Identity</w:t>
      </w:r>
      <w:r w:rsidR="00EC621F">
        <w:rPr>
          <w:b/>
          <w:bCs/>
        </w:rPr>
        <w:t xml:space="preserve"> Biology</w:t>
      </w:r>
    </w:p>
    <w:p w14:paraId="1A86E5BE" w14:textId="6188ED82" w:rsidR="00F46BD5" w:rsidRDefault="00592D88">
      <w:r>
        <w:t xml:space="preserve">Sexual </w:t>
      </w:r>
      <w:r w:rsidR="009D6F0A">
        <w:t>orientation</w:t>
      </w:r>
      <w:r>
        <w:t xml:space="preserve"> refers to</w:t>
      </w:r>
      <w:r w:rsidR="00EC621F">
        <w:t xml:space="preserve"> the gender someone is attracted </w:t>
      </w:r>
      <w:r w:rsidR="00DE1AF8">
        <w:t>to emotionally</w:t>
      </w:r>
      <w:r w:rsidR="009D6F0A">
        <w:t>, romantic</w:t>
      </w:r>
      <w:r w:rsidR="00EC621F">
        <w:t>ally</w:t>
      </w:r>
      <w:r>
        <w:t xml:space="preserve">, and </w:t>
      </w:r>
      <w:r w:rsidR="00DE1AF8">
        <w:t>sexually while</w:t>
      </w:r>
      <w:r>
        <w:t xml:space="preserve"> gender identity </w:t>
      </w:r>
      <w:r w:rsidR="009D6F0A">
        <w:t>is a personal</w:t>
      </w:r>
      <w:r>
        <w:t xml:space="preserve"> sense of </w:t>
      </w:r>
      <w:r w:rsidR="00110949">
        <w:t xml:space="preserve">maleness or </w:t>
      </w:r>
      <w:r w:rsidR="009D6F0A">
        <w:t>femaleness. These</w:t>
      </w:r>
      <w:r w:rsidR="008642B1">
        <w:t xml:space="preserve"> two are the most astounding sex differences in the way men and women </w:t>
      </w:r>
      <w:r w:rsidR="009D6F0A">
        <w:t>behave. Although</w:t>
      </w:r>
      <w:r w:rsidR="00750B96">
        <w:t xml:space="preserve"> these two phenomena play a significant part in human life, their root components are not clearly understood by </w:t>
      </w:r>
      <w:r w:rsidR="009D6F0A">
        <w:t xml:space="preserve">people. </w:t>
      </w:r>
      <w:r w:rsidR="00750B96">
        <w:t>People's central belief is t</w:t>
      </w:r>
      <w:r w:rsidR="00EC621F">
        <w:t xml:space="preserve">hat </w:t>
      </w:r>
      <w:r w:rsidR="00750B96">
        <w:t xml:space="preserve">hormones </w:t>
      </w:r>
      <w:r w:rsidR="00EC621F">
        <w:t>p</w:t>
      </w:r>
      <w:r w:rsidR="00750B96">
        <w:t>lay a significant role in a person's sexual orientation and gender</w:t>
      </w:r>
      <w:r w:rsidR="009D6F0A">
        <w:t>. The</w:t>
      </w:r>
      <w:r w:rsidR="00BC2799">
        <w:t xml:space="preserve"> studies show that hormones are not substantial evidence to explain either of these behaviours in many </w:t>
      </w:r>
      <w:r w:rsidR="009D6F0A">
        <w:t>humans. According</w:t>
      </w:r>
      <w:r w:rsidR="00BC2799">
        <w:t xml:space="preserve"> to Dr. Spack,</w:t>
      </w:r>
      <w:r w:rsidR="00514345">
        <w:t xml:space="preserve"> there are many mismatches between many children's internal and external, which makes it hard to define their </w:t>
      </w:r>
      <w:r w:rsidR="009D6F0A">
        <w:t xml:space="preserve">gender. During puberty, the child knows whether they are transgender, and it is tough to change </w:t>
      </w:r>
      <w:r w:rsidR="000B3479">
        <w:t xml:space="preserve">that. Sexual orientation and gender identity can be very </w:t>
      </w:r>
      <w:r w:rsidR="00CB65A3">
        <w:t xml:space="preserve">confusing. He believes that it is essential to freely affirm their gender identity and let them </w:t>
      </w:r>
      <w:r w:rsidR="007341C6">
        <w:t>be what</w:t>
      </w:r>
      <w:r w:rsidR="00CB65A3">
        <w:t xml:space="preserve"> they want to be. This is because there is a risk of not doing anything for them</w:t>
      </w:r>
      <w:r w:rsidR="00EC621F">
        <w:t xml:space="preserve"> if they're going to come out.</w:t>
      </w:r>
      <w:r w:rsidR="00CB65A3">
        <w:t xml:space="preserve"> </w:t>
      </w:r>
      <w:r w:rsidR="00EC621F">
        <w:t xml:space="preserve">This may </w:t>
      </w:r>
      <w:r w:rsidR="00CB65A3">
        <w:t>put the</w:t>
      </w:r>
      <w:r w:rsidR="00EC621F">
        <w:t xml:space="preserve"> person in question </w:t>
      </w:r>
      <w:r w:rsidR="00CB65A3">
        <w:t xml:space="preserve">at the </w:t>
      </w:r>
      <w:r w:rsidR="00EC621F">
        <w:t xml:space="preserve">risk of wanting to </w:t>
      </w:r>
      <w:r w:rsidR="00DE1AF8">
        <w:t>commit suicide</w:t>
      </w:r>
      <w:r w:rsidR="00EC621F">
        <w:t xml:space="preserve">. It also brings a question about </w:t>
      </w:r>
      <w:r w:rsidR="00CB65A3">
        <w:t xml:space="preserve">whether </w:t>
      </w:r>
      <w:r w:rsidR="00EC621F">
        <w:t>our society indeed treats people equally</w:t>
      </w:r>
      <w:r w:rsidR="00CB65A3">
        <w:t xml:space="preserve">. </w:t>
      </w:r>
    </w:p>
    <w:p w14:paraId="57CA385F" w14:textId="3D071323" w:rsidR="00771837" w:rsidRDefault="00592D88">
      <w:r>
        <w:t xml:space="preserve">Our attractions and identities are a powerful part of who we </w:t>
      </w:r>
      <w:r w:rsidR="007341C6">
        <w:t>are. The source of gender is not clearly understood, and maybe not the same for everyone. The essence of gender is likely established by hormonal influences (</w:t>
      </w:r>
      <w:r w:rsidR="00792986">
        <w:rPr>
          <w:rFonts w:ascii="Arial" w:hAnsi="Arial" w:cs="Arial"/>
          <w:color w:val="000000"/>
          <w:sz w:val="20"/>
          <w:szCs w:val="20"/>
          <w:shd w:val="clear" w:color="auto" w:fill="FFFFFF"/>
        </w:rPr>
        <w:t>(Norsigian &amp; Collecte, 2014)</w:t>
      </w:r>
      <w:r>
        <w:t>)</w:t>
      </w:r>
      <w:r w:rsidR="007341C6">
        <w:t>.</w:t>
      </w:r>
    </w:p>
    <w:p w14:paraId="71A671FF" w14:textId="19702725" w:rsidR="00381204" w:rsidRDefault="00381204"/>
    <w:p w14:paraId="7E9A724E" w14:textId="06201F90" w:rsidR="00381204" w:rsidRDefault="00381204"/>
    <w:p w14:paraId="1967894B" w14:textId="340ABBA4" w:rsidR="00381204" w:rsidRDefault="00381204"/>
    <w:p w14:paraId="1ACD61AA" w14:textId="54287D7D" w:rsidR="00381204" w:rsidRDefault="00381204"/>
    <w:p w14:paraId="3D06B2E2" w14:textId="7DA40138" w:rsidR="00381204" w:rsidRDefault="00592D88" w:rsidP="004F78BA">
      <w:pPr>
        <w:jc w:val="center"/>
        <w:rPr>
          <w:b/>
          <w:bCs/>
        </w:rPr>
      </w:pPr>
      <w:r w:rsidRPr="004F78BA">
        <w:rPr>
          <w:b/>
          <w:bCs/>
        </w:rPr>
        <w:lastRenderedPageBreak/>
        <w:t>Teen Pregnancies</w:t>
      </w:r>
    </w:p>
    <w:p w14:paraId="17CFCF43" w14:textId="237F86C3" w:rsidR="004F78BA" w:rsidRDefault="00592D88" w:rsidP="00EE02E3">
      <w:r>
        <w:t xml:space="preserve">The rate of teen pregnancies ha continued to increase despite the increased availability of condoms. </w:t>
      </w:r>
      <w:r>
        <w:t xml:space="preserve">Different groups of people could help rectify this situation ranging from </w:t>
      </w:r>
      <w:r w:rsidR="00760D3A">
        <w:t>origin</w:t>
      </w:r>
      <w:r>
        <w:t xml:space="preserve"> </w:t>
      </w:r>
      <w:r w:rsidR="00760D3A">
        <w:t>leaders, government</w:t>
      </w:r>
      <w:r>
        <w:t xml:space="preserve"> officials to the teenagers </w:t>
      </w:r>
      <w:r w:rsidR="00760D3A">
        <w:t>themselves. Parents</w:t>
      </w:r>
      <w:r w:rsidR="00DF0463">
        <w:t xml:space="preserve"> play a significant role in the lives of their children. When children become teenagers, every parent should prepare to advise the young ones according to peer pressure</w:t>
      </w:r>
      <w:r w:rsidR="00760D3A">
        <w:t>. They</w:t>
      </w:r>
      <w:r w:rsidR="00DF0463">
        <w:t xml:space="preserve"> can help make sure their kids are not victims of teenage pregnancies by being clear about their sexual values and attitudes</w:t>
      </w:r>
      <w:r w:rsidR="00A7026B">
        <w:t xml:space="preserve"> and </w:t>
      </w:r>
      <w:r w:rsidR="00DF0463">
        <w:t xml:space="preserve">talk to them </w:t>
      </w:r>
      <w:r w:rsidR="00A7026B">
        <w:t xml:space="preserve">early enough on sex and love and being </w:t>
      </w:r>
      <w:r w:rsidR="00760D3A">
        <w:t>specific. I</w:t>
      </w:r>
      <w:r w:rsidR="00A7026B">
        <w:t xml:space="preserve"> think the best thing parents can do is help their teens to have alternatives for their future that are more appealing than early pregnancy and childhood. Because </w:t>
      </w:r>
      <w:r w:rsidR="00EC621F">
        <w:t xml:space="preserve">most </w:t>
      </w:r>
      <w:r w:rsidR="00A7026B">
        <w:t>young people spend m</w:t>
      </w:r>
      <w:r w:rsidR="00EC621F">
        <w:t>ost of their life</w:t>
      </w:r>
      <w:r w:rsidR="00A7026B">
        <w:t xml:space="preserve"> in </w:t>
      </w:r>
      <w:r w:rsidR="00242B07">
        <w:t>school, it</w:t>
      </w:r>
      <w:r w:rsidR="00A7026B">
        <w:t xml:space="preserve"> is </w:t>
      </w:r>
      <w:r w:rsidR="00DE1AF8">
        <w:t>recommended that teachers</w:t>
      </w:r>
      <w:r w:rsidR="00A7026B">
        <w:t xml:space="preserve"> promote educational success more than anything and </w:t>
      </w:r>
      <w:r w:rsidR="00242B07">
        <w:t>instill</w:t>
      </w:r>
      <w:r w:rsidR="00A7026B">
        <w:t xml:space="preserve"> a sense in teenagers that life has more positive options. Teachers should aim to </w:t>
      </w:r>
      <w:r w:rsidR="00EC621F">
        <w:t xml:space="preserve">increase sexual education so that the teens may be equipped with social skills and knowledge to make responsible decisions. This also will help them have an idea of when they should initiate sex in their </w:t>
      </w:r>
      <w:r w:rsidR="00DE1AF8">
        <w:t>lives. As</w:t>
      </w:r>
      <w:r w:rsidR="00FB1F3A">
        <w:t xml:space="preserve"> a leader, one has to act fast and </w:t>
      </w:r>
      <w:r w:rsidR="00DE1AF8">
        <w:t>first, engage</w:t>
      </w:r>
      <w:r w:rsidR="00FB1F3A">
        <w:t xml:space="preserve"> themselves in new projects and activities, and blend with all types of people in the society, whether young or </w:t>
      </w:r>
      <w:r w:rsidR="00DE1AF8">
        <w:t>old. A</w:t>
      </w:r>
      <w:r w:rsidR="00FB1F3A">
        <w:t xml:space="preserve"> religious leader should be on the front line of getting things </w:t>
      </w:r>
      <w:r w:rsidR="00DE1AF8">
        <w:t>done (</w:t>
      </w:r>
      <w:r w:rsidR="008D658E">
        <w:t xml:space="preserve">Ibarra,2015). </w:t>
      </w:r>
      <w:r w:rsidR="00FB1F3A">
        <w:t xml:space="preserve">Thus, as a spiritual </w:t>
      </w:r>
      <w:r w:rsidR="00DE1AF8">
        <w:t>leader, one</w:t>
      </w:r>
      <w:r w:rsidR="00FB1F3A">
        <w:t xml:space="preserve"> can help </w:t>
      </w:r>
      <w:r w:rsidR="008D658E">
        <w:t>prevent teenage pregnancies</w:t>
      </w:r>
      <w:r w:rsidR="00E60989">
        <w:t xml:space="preserve"> by offering opportunities to interact with teens directly and help parents talk with their children about sensitive subjects like sexuality and pregnancy </w:t>
      </w:r>
      <w:r w:rsidR="00760D3A">
        <w:t>prevention. The</w:t>
      </w:r>
      <w:r w:rsidR="00242B07">
        <w:t xml:space="preserve"> best thing they can do is encourage teens to love religion to teach them to uphold religious beliefs that enable them to lead responsible </w:t>
      </w:r>
      <w:r w:rsidR="00760D3A">
        <w:t>lives. The</w:t>
      </w:r>
      <w:r w:rsidR="00FE49E0">
        <w:t xml:space="preserve"> government can also </w:t>
      </w:r>
      <w:r w:rsidR="00760D3A">
        <w:t>help</w:t>
      </w:r>
      <w:r w:rsidR="00FE49E0">
        <w:t xml:space="preserve"> by providing affordable family planning services</w:t>
      </w:r>
      <w:r w:rsidR="00145CE7">
        <w:t xml:space="preserve">. The best way </w:t>
      </w:r>
      <w:r w:rsidR="00760D3A">
        <w:t>they can</w:t>
      </w:r>
      <w:r w:rsidR="00145CE7">
        <w:t xml:space="preserve"> help is by evaluating programs in communities where teen pregnancies are the </w:t>
      </w:r>
      <w:r w:rsidR="00760D3A">
        <w:t>highest. As</w:t>
      </w:r>
      <w:r w:rsidR="00B57A7D">
        <w:t xml:space="preserve"> much as </w:t>
      </w:r>
      <w:r w:rsidR="00760D3A">
        <w:t>anyone</w:t>
      </w:r>
      <w:r w:rsidR="00B57A7D">
        <w:t xml:space="preserve"> tries to prevent teenage pregnancies, the teens </w:t>
      </w:r>
      <w:r w:rsidR="00B57A7D">
        <w:lastRenderedPageBreak/>
        <w:t xml:space="preserve">themselves are the ones who can best help reduce the </w:t>
      </w:r>
      <w:r w:rsidR="00760D3A">
        <w:t>cases. They</w:t>
      </w:r>
      <w:r w:rsidR="00B57A7D">
        <w:t xml:space="preserve"> need to have a positive attitude towards leading their lives </w:t>
      </w:r>
      <w:r w:rsidR="00760D3A">
        <w:t>right, admire</w:t>
      </w:r>
      <w:r w:rsidR="00B57A7D">
        <w:t xml:space="preserve"> achieving more in life, and have better future options</w:t>
      </w:r>
      <w:r w:rsidR="00760D3A">
        <w:t>. There</w:t>
      </w:r>
      <w:r w:rsidR="00B57A7D">
        <w:t xml:space="preserve"> needs to be an encouragement to do right and become </w:t>
      </w:r>
      <w:r w:rsidR="00760D3A">
        <w:t>better. Teenagers</w:t>
      </w:r>
      <w:r w:rsidR="00B57A7D">
        <w:t xml:space="preserve"> need to know the </w:t>
      </w:r>
      <w:r w:rsidR="00760D3A">
        <w:t>consequences</w:t>
      </w:r>
      <w:r w:rsidR="00B57A7D">
        <w:t xml:space="preserve"> of teenage pregnancy above all.</w:t>
      </w:r>
    </w:p>
    <w:p w14:paraId="6E61A75A" w14:textId="335E1099" w:rsidR="00A90380" w:rsidRDefault="00A90380" w:rsidP="00EE02E3"/>
    <w:p w14:paraId="3AAF7C73" w14:textId="79460A76" w:rsidR="00A90380" w:rsidRDefault="00A90380" w:rsidP="00EE02E3"/>
    <w:p w14:paraId="0F0C4409" w14:textId="649AC7C9" w:rsidR="00A90380" w:rsidRDefault="00A90380" w:rsidP="00EE02E3"/>
    <w:p w14:paraId="20EF64E7" w14:textId="1AFEC790" w:rsidR="00A90380" w:rsidRDefault="00A90380" w:rsidP="00EE02E3"/>
    <w:p w14:paraId="3B3AAA64" w14:textId="54A79851" w:rsidR="00A90380" w:rsidRDefault="00A90380" w:rsidP="00EE02E3"/>
    <w:p w14:paraId="3C8B3B09" w14:textId="4464996B" w:rsidR="00A90380" w:rsidRDefault="00A90380" w:rsidP="00EE02E3"/>
    <w:p w14:paraId="625E6CD8" w14:textId="5B82858A" w:rsidR="00A90380" w:rsidRDefault="00A90380" w:rsidP="00EE02E3"/>
    <w:p w14:paraId="3949EEA0" w14:textId="645454C0" w:rsidR="00A90380" w:rsidRDefault="00A90380" w:rsidP="00EE02E3"/>
    <w:p w14:paraId="124447C8" w14:textId="60828B10" w:rsidR="00A90380" w:rsidRDefault="00A90380" w:rsidP="00EE02E3"/>
    <w:p w14:paraId="0B1DC2A0" w14:textId="0FC0377D" w:rsidR="00A90380" w:rsidRDefault="00A90380" w:rsidP="00EE02E3"/>
    <w:p w14:paraId="5C1D7533" w14:textId="7126079B" w:rsidR="00A90380" w:rsidRDefault="00A90380" w:rsidP="00EE02E3"/>
    <w:p w14:paraId="5AFEBC98" w14:textId="7995F3A6" w:rsidR="00A90380" w:rsidRDefault="00A90380" w:rsidP="00EE02E3"/>
    <w:p w14:paraId="08B11EBE" w14:textId="0DF5272F" w:rsidR="00A90380" w:rsidRDefault="00A90380" w:rsidP="00EE02E3"/>
    <w:p w14:paraId="10ECE67B" w14:textId="6B52BD32" w:rsidR="00A90380" w:rsidRDefault="00A90380" w:rsidP="00EE02E3"/>
    <w:p w14:paraId="60311010" w14:textId="71C762D0" w:rsidR="00A90380" w:rsidRDefault="00592D88" w:rsidP="00A90380">
      <w:pPr>
        <w:jc w:val="center"/>
      </w:pPr>
      <w:r>
        <w:t>REFERENCES</w:t>
      </w:r>
    </w:p>
    <w:p w14:paraId="65BFFDBE" w14:textId="77777777" w:rsidR="00410E5E" w:rsidRPr="00EE02E3" w:rsidRDefault="00592D88" w:rsidP="00410E5E">
      <w:hyperlink r:id="rId6" w:history="1">
        <w:r w:rsidRPr="00A32FCF">
          <w:rPr>
            <w:rStyle w:val="Hyperlink"/>
            <w:rFonts w:ascii="Helvetica" w:hAnsi="Helvetica"/>
            <w:sz w:val="27"/>
            <w:szCs w:val="27"/>
          </w:rPr>
          <w:t>https://youtu.be/rzbtSeVZeEE</w:t>
        </w:r>
      </w:hyperlink>
      <w:r>
        <w:rPr>
          <w:rFonts w:ascii="Helvetica" w:hAnsi="Helvetica"/>
          <w:color w:val="1B1B1B"/>
          <w:sz w:val="27"/>
          <w:szCs w:val="27"/>
        </w:rPr>
        <w:t xml:space="preserve"> </w:t>
      </w:r>
    </w:p>
    <w:p w14:paraId="11765770" w14:textId="77777777" w:rsidR="00410E5E" w:rsidRDefault="00592D88" w:rsidP="00410E5E">
      <w:pPr>
        <w:rPr>
          <w:rFonts w:ascii="Arial" w:hAnsi="Arial" w:cs="Arial"/>
          <w:color w:val="000000"/>
          <w:sz w:val="20"/>
          <w:szCs w:val="20"/>
          <w:shd w:val="clear" w:color="auto" w:fill="FFFFFF"/>
        </w:rPr>
      </w:pPr>
      <w:r>
        <w:rPr>
          <w:rFonts w:ascii="Arial" w:hAnsi="Arial" w:cs="Arial"/>
          <w:color w:val="000000"/>
          <w:sz w:val="20"/>
          <w:szCs w:val="20"/>
          <w:shd w:val="clear" w:color="auto" w:fill="FFFFFF"/>
        </w:rPr>
        <w:t>Ibarra, H. (2015). </w:t>
      </w:r>
      <w:r>
        <w:rPr>
          <w:rFonts w:ascii="Arial" w:hAnsi="Arial" w:cs="Arial"/>
          <w:i/>
          <w:iCs/>
          <w:color w:val="000000"/>
          <w:sz w:val="20"/>
          <w:szCs w:val="20"/>
          <w:shd w:val="clear" w:color="auto" w:fill="FFFFFF"/>
        </w:rPr>
        <w:t>Act like a leader, think like a leader</w:t>
      </w:r>
      <w:r>
        <w:rPr>
          <w:rFonts w:ascii="Arial" w:hAnsi="Arial" w:cs="Arial"/>
          <w:color w:val="000000"/>
          <w:sz w:val="20"/>
          <w:szCs w:val="20"/>
          <w:shd w:val="clear" w:color="auto" w:fill="FFFFFF"/>
        </w:rPr>
        <w:t>. Harvard Business Press.</w:t>
      </w:r>
    </w:p>
    <w:p w14:paraId="04052F5E" w14:textId="77777777" w:rsidR="00410E5E" w:rsidRDefault="00592D88" w:rsidP="00410E5E">
      <w:pPr>
        <w:rPr>
          <w:rFonts w:ascii="Arial" w:hAnsi="Arial" w:cs="Arial"/>
          <w:color w:val="000000"/>
          <w:sz w:val="20"/>
          <w:szCs w:val="20"/>
          <w:shd w:val="clear" w:color="auto" w:fill="FFFFFF"/>
        </w:rPr>
      </w:pPr>
      <w:r>
        <w:rPr>
          <w:rFonts w:ascii="Arial" w:hAnsi="Arial" w:cs="Arial"/>
          <w:color w:val="000000"/>
          <w:sz w:val="20"/>
          <w:szCs w:val="20"/>
          <w:shd w:val="clear" w:color="auto" w:fill="FFFFFF"/>
        </w:rPr>
        <w:t>Norsigian, J., &amp; Collecte, B. (2014). </w:t>
      </w:r>
      <w:r>
        <w:rPr>
          <w:rFonts w:ascii="Arial" w:hAnsi="Arial" w:cs="Arial"/>
          <w:i/>
          <w:iCs/>
          <w:color w:val="000000"/>
          <w:sz w:val="20"/>
          <w:szCs w:val="20"/>
          <w:shd w:val="clear" w:color="auto" w:fill="FFFFFF"/>
        </w:rPr>
        <w:t>Ou</w:t>
      </w:r>
      <w:r>
        <w:rPr>
          <w:rFonts w:ascii="Arial" w:hAnsi="Arial" w:cs="Arial"/>
          <w:i/>
          <w:iCs/>
          <w:color w:val="000000"/>
          <w:sz w:val="20"/>
          <w:szCs w:val="20"/>
          <w:shd w:val="clear" w:color="auto" w:fill="FFFFFF"/>
        </w:rPr>
        <w:t>r bodies, ourselves</w:t>
      </w:r>
      <w:r>
        <w:rPr>
          <w:rFonts w:ascii="Arial" w:hAnsi="Arial" w:cs="Arial"/>
          <w:color w:val="000000"/>
          <w:sz w:val="20"/>
          <w:szCs w:val="20"/>
          <w:shd w:val="clear" w:color="auto" w:fill="FFFFFF"/>
        </w:rPr>
        <w:t>. Touchstone.</w:t>
      </w:r>
    </w:p>
    <w:p w14:paraId="54FA6BCF" w14:textId="2606B9A8" w:rsidR="00771837" w:rsidRDefault="00771837" w:rsidP="00A7026B">
      <w:pPr>
        <w:tabs>
          <w:tab w:val="left" w:pos="7740"/>
        </w:tabs>
      </w:pPr>
    </w:p>
    <w:p w14:paraId="6B0D2EE8" w14:textId="73CD620E" w:rsidR="00771837" w:rsidRDefault="00771837"/>
    <w:p w14:paraId="2937A2F5" w14:textId="77777777" w:rsidR="00771837" w:rsidRDefault="00771837"/>
    <w:sectPr w:rsidR="00771837" w:rsidSect="00B608C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C9D5BA" w14:textId="77777777" w:rsidR="00592D88" w:rsidRDefault="00592D88">
      <w:pPr>
        <w:spacing w:after="0" w:line="240" w:lineRule="auto"/>
      </w:pPr>
      <w:r>
        <w:separator/>
      </w:r>
    </w:p>
  </w:endnote>
  <w:endnote w:type="continuationSeparator" w:id="0">
    <w:p w14:paraId="2C5E5A0E" w14:textId="77777777" w:rsidR="00592D88" w:rsidRDefault="00592D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5003F1" w14:textId="77777777" w:rsidR="00592D88" w:rsidRDefault="00592D88">
      <w:pPr>
        <w:spacing w:after="0" w:line="240" w:lineRule="auto"/>
      </w:pPr>
      <w:r>
        <w:separator/>
      </w:r>
    </w:p>
  </w:footnote>
  <w:footnote w:type="continuationSeparator" w:id="0">
    <w:p w14:paraId="6C82EA18" w14:textId="77777777" w:rsidR="00592D88" w:rsidRDefault="00592D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98592515"/>
      <w:docPartObj>
        <w:docPartGallery w:val="Page Numbers (Top of Page)"/>
        <w:docPartUnique/>
      </w:docPartObj>
    </w:sdtPr>
    <w:sdtEndPr>
      <w:rPr>
        <w:noProof/>
      </w:rPr>
    </w:sdtEndPr>
    <w:sdtContent>
      <w:p w14:paraId="4E8492C3" w14:textId="78AECE63" w:rsidR="00B608CB" w:rsidRDefault="00592D88">
        <w:pPr>
          <w:pStyle w:val="Header"/>
          <w:jc w:val="right"/>
        </w:pPr>
        <w:r>
          <w:t>ASSIGNMENT</w:t>
        </w:r>
        <w:r>
          <w:tab/>
        </w:r>
        <w:r>
          <w:tab/>
        </w:r>
        <w:r>
          <w:fldChar w:fldCharType="begin"/>
        </w:r>
        <w:r>
          <w:instrText xml:space="preserve"> PAGE   \* MERGEFORMAT </w:instrText>
        </w:r>
        <w:r>
          <w:fldChar w:fldCharType="separate"/>
        </w:r>
        <w:r w:rsidR="0015040E">
          <w:rPr>
            <w:noProof/>
          </w:rPr>
          <w:t>2</w:t>
        </w:r>
        <w:r>
          <w:rPr>
            <w:noProof/>
          </w:rPr>
          <w:fldChar w:fldCharType="end"/>
        </w:r>
      </w:p>
    </w:sdtContent>
  </w:sdt>
  <w:p w14:paraId="5A611563" w14:textId="77777777" w:rsidR="00B608CB" w:rsidRDefault="00B608C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18E235" w14:textId="54AC5FFE" w:rsidR="00B608CB" w:rsidRDefault="00592D88">
    <w:pPr>
      <w:pStyle w:val="Header"/>
    </w:pPr>
    <w:r>
      <w:t>Running Head: ASSIGNMENT</w:t>
    </w:r>
    <w:r>
      <w:tab/>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5FC1"/>
    <w:rsid w:val="000266AE"/>
    <w:rsid w:val="000B3479"/>
    <w:rsid w:val="000B6CF2"/>
    <w:rsid w:val="00110949"/>
    <w:rsid w:val="00145CE7"/>
    <w:rsid w:val="0015040E"/>
    <w:rsid w:val="00180C1B"/>
    <w:rsid w:val="00242B07"/>
    <w:rsid w:val="00275FC1"/>
    <w:rsid w:val="00356C7E"/>
    <w:rsid w:val="00381204"/>
    <w:rsid w:val="00410E5E"/>
    <w:rsid w:val="004F78BA"/>
    <w:rsid w:val="00514345"/>
    <w:rsid w:val="00592D88"/>
    <w:rsid w:val="007341C6"/>
    <w:rsid w:val="00750B96"/>
    <w:rsid w:val="00760D3A"/>
    <w:rsid w:val="00771837"/>
    <w:rsid w:val="00792986"/>
    <w:rsid w:val="008642B1"/>
    <w:rsid w:val="008D658E"/>
    <w:rsid w:val="009D6F0A"/>
    <w:rsid w:val="00A32FCF"/>
    <w:rsid w:val="00A7026B"/>
    <w:rsid w:val="00A90380"/>
    <w:rsid w:val="00AA6D6A"/>
    <w:rsid w:val="00B57A7D"/>
    <w:rsid w:val="00B608CB"/>
    <w:rsid w:val="00B66CD0"/>
    <w:rsid w:val="00BC2799"/>
    <w:rsid w:val="00CB65A3"/>
    <w:rsid w:val="00DE1AF8"/>
    <w:rsid w:val="00DF0463"/>
    <w:rsid w:val="00E60989"/>
    <w:rsid w:val="00EC621F"/>
    <w:rsid w:val="00EE02E3"/>
    <w:rsid w:val="00F171A9"/>
    <w:rsid w:val="00F41BCF"/>
    <w:rsid w:val="00F46BD5"/>
    <w:rsid w:val="00FB1F3A"/>
    <w:rsid w:val="00FE49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8DEF36E-C436-41BE-B645-64605E166A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WRITING FORMAT"/>
    <w:qFormat/>
    <w:rsid w:val="00F41BCF"/>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608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08CB"/>
    <w:rPr>
      <w:rFonts w:ascii="Times New Roman" w:hAnsi="Times New Roman"/>
      <w:sz w:val="24"/>
    </w:rPr>
  </w:style>
  <w:style w:type="paragraph" w:styleId="Footer">
    <w:name w:val="footer"/>
    <w:basedOn w:val="Normal"/>
    <w:link w:val="FooterChar"/>
    <w:uiPriority w:val="99"/>
    <w:unhideWhenUsed/>
    <w:rsid w:val="00B608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08CB"/>
    <w:rPr>
      <w:rFonts w:ascii="Times New Roman" w:hAnsi="Times New Roman"/>
      <w:sz w:val="24"/>
    </w:rPr>
  </w:style>
  <w:style w:type="character" w:styleId="Hyperlink">
    <w:name w:val="Hyperlink"/>
    <w:basedOn w:val="DefaultParagraphFont"/>
    <w:uiPriority w:val="99"/>
    <w:unhideWhenUsed/>
    <w:rsid w:val="00410E5E"/>
    <w:rPr>
      <w:color w:val="0000FF"/>
      <w:u w:val="single"/>
    </w:rPr>
  </w:style>
  <w:style w:type="character" w:customStyle="1" w:styleId="UnresolvedMention">
    <w:name w:val="Unresolved Mention"/>
    <w:basedOn w:val="DefaultParagraphFont"/>
    <w:uiPriority w:val="99"/>
    <w:rsid w:val="00410E5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youtu.be/rzbtSeVZeEE"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651</Words>
  <Characters>3716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Phoebe Muthui</dc:creator>
  <cp:lastModifiedBy>hp</cp:lastModifiedBy>
  <cp:revision>2</cp:revision>
  <dcterms:created xsi:type="dcterms:W3CDTF">2020-10-02T08:30:00Z</dcterms:created>
  <dcterms:modified xsi:type="dcterms:W3CDTF">2020-10-02T08:30:00Z</dcterms:modified>
</cp:coreProperties>
</file>